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0AD" w:rsidRPr="005360AD" w:rsidRDefault="005360AD" w:rsidP="005360AD">
      <w:pPr>
        <w:jc w:val="both"/>
        <w:rPr>
          <w:rFonts w:ascii="Arial" w:eastAsia="Times New Roman" w:hAnsi="Arial" w:cs="Arial"/>
          <w:bCs/>
          <w:color w:val="000000"/>
          <w:sz w:val="22"/>
          <w:szCs w:val="22"/>
          <w:lang w:val="es-AR" w:eastAsia="es-ES_tradnl"/>
        </w:rPr>
      </w:pPr>
      <w:bookmarkStart w:id="0" w:name="_GoBack"/>
      <w:r w:rsidRPr="005360AD">
        <w:rPr>
          <w:rFonts w:ascii="Arial" w:eastAsia="Times New Roman" w:hAnsi="Arial" w:cs="Arial"/>
          <w:bCs/>
          <w:color w:val="000000"/>
          <w:sz w:val="22"/>
          <w:szCs w:val="22"/>
          <w:lang w:val="es-AR" w:eastAsia="es-ES_tradnl"/>
        </w:rPr>
        <w:t>Decisión Administrativa 429/2020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DECAD-2020-429-APN-JGM - Incorporación de actividades y servicios exceptuados.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r>
      <w:bookmarkEnd w:id="0"/>
      <w:r w:rsidRPr="005360AD">
        <w:rPr>
          <w:rFonts w:ascii="Arial" w:eastAsia="Times New Roman" w:hAnsi="Arial" w:cs="Arial"/>
          <w:bCs/>
          <w:color w:val="000000"/>
          <w:sz w:val="22"/>
          <w:szCs w:val="22"/>
          <w:lang w:val="es-AR" w:eastAsia="es-ES_tradnl"/>
        </w:rPr>
        <w:t>AISLAMIENTO SOCIAL, PREVENTIVO Y OBLIGATORIO</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Ciudad de Buenos Aires, 20/03/2020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VISTOel Expediente N° EX-2020-18346866- -APN-DGDYD#JGM, la Ley N° 27.541, los Decretos Nros. 260 del 12 de marzo de 2020, 287 del 17 de marzo de 2020 y 297 del 19 de marzo de 2020, y</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CONSIDERANDO:</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mediante el Decreto N°  260/20 se amplió, por el plazo de UN (1) año, la emergencia pública en materia sanitaria establecida la por Ley N° 27.541, en virtud de la pandemia declarada por la ORGANIZACIÓN MUNDIAL DE LA SALUD (OMS) en relación con el coronavirus COVID-19.</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la dinámica de la pandemia y su impacto sobre la vida social de la población en su conjunto ha verificado la necesidad de intensificar los controles del Gobierno Nacional.</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a través del Decreto N° 297/20 se estableció una medida de aislamiento social, preventivo y obligatorio, desde el 20 hasta el 31 de marzo de 2020, con el fin de proteger la salud pública.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por el artículo 6° del decreto citado en último término se exceptuó del cumplimiento del “aislamiento social, preventivo y obligatorio” y de la prohibición de circular, a las personas afectadas a actividades y servicios declarados esenciales en la emergencia.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asimismo, se estableció que los desplazamientos de estas personas deben limitarse al estricto cumplimiento de dichas actividades y servicios.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la realidad de las Primeras horas de “aislamiento social, preventivo y obligatorio” ha demostrado la necesidad de incorporar otras actividades y servicios con carácter de esenciales con el fin de mitigar los efectos ocasionados por las medidas adoptadas.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dicha situación ha sido prevista, estableciéndose que el Jefe de Gabinete de Ministros, en su carácter de coordinador de la “Unidad de Coordinación General del Plan Integral para la Prevención de Eventos de Salud</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 Pública de Importancia Internacional”, podrá ampliar o reducir las excepciones dispuestas, en función de la dinámica de la situación epidemiológica y de la eficacia que se observe en el cumplimiento del Decreto N° 297/20.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ha tomado la intervención de su competencia la autoridad sanitaria, de conformidad con lo previsto en la normativa vigente.</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el servicio jurídico pertinente ha realizado la intervención de su competencia.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Que la presente medida se dicta en uso de las atribuciones conferidas por el artículo 100 incisos 1 y 2 de la CONSTITUCIÓN NACIONAL y el artículo 6° del Decreto N° 297/20.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Por ello,</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EL JEFE DE GABINETE DE MINISTROS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DECIDE:</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 xml:space="preserve">ARTÍCULO 1°.- Incorpórase al listado de actividades y servicios declarados esenciales en la emergencia, exceptuadas del cumplimiento del “aislamiento social, preventivo y obligatorio” y de la </w:t>
      </w:r>
      <w:r w:rsidRPr="005360AD">
        <w:rPr>
          <w:rFonts w:ascii="Arial" w:eastAsia="Times New Roman" w:hAnsi="Arial" w:cs="Arial"/>
          <w:bCs/>
          <w:color w:val="000000"/>
          <w:sz w:val="22"/>
          <w:szCs w:val="22"/>
          <w:lang w:val="es-AR" w:eastAsia="es-ES_tradnl"/>
        </w:rPr>
        <w:lastRenderedPageBreak/>
        <w:t>prohibición de circular, a las personas afectadas a las actividades y servicios que se detallan a continuación:</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1. Industrias que realicen procesos continuos cuya interrupción implique daños estructurales en las líneas de producción y/o maquinarias podrán solicitar autorización a la Secretaría de Industria, Economía del Conocimiento y Gestión Comercial Externa, para no discontinuar su producción, reduciendo al mínimo su actividad y dotación de personal.</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2. Producción y distribución de biocombustibles.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3. Operación de centrales nucleares.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4. Hoteles afectados al servicio de emergencia sanitaria. También deberán garantizar las prestaciones a las personas que se hallaren alojadas en los mismos a la fecha del dictado del Decreto N° 297/20.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5. Dotación de personal mínima necesaria para la operación de la Fábrica Argentina de Aviones Brig. San Martín S.A.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6. Las autoridades de la Comisión Nacional de Valores podrán autorizar la actividad de una dotación mínima de personal y de la de sus regulados, en caso de resultar necesario.</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7. Operación de aeropuertos. Operaciones de garages y estacionamientos, con dotaciones mínimas.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8. Sostenimiento de actividades vinculadas a la protección ambiental minera.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9. Curtiembres, con dotación mínima, para la recepción de cuero proveniente de la actividad frigorífica.</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10. Los restaurantes, locales de comidas preparadas y locales de comidas rápidas, podrán vender sus productos a través de servicios de reparto domiciliario, con sujeción al protocolo específico establecido por la autoridad sanitaria. </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En ningún caso podrán brindar servicios con atención al público en forma personal.</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Los desplazamientos de las personas alcanzadas por el presente artículo deberán limitarse al estricto cumplimiento de las actividades y servicios considerados esenciales.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ARTÍCULO 2º.- Se permitirá la circulación de los ministros de los diferentes cultos a los efectos de brindar asistencia espiritual, debiendo los templos ajustarse en su funcionamiento a lo estipulado en el primer párrafo del artículo 5° del Decreto N° 297/20.</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ARTÍCULO 3º.- Aclárase que en el inciso 12 del artículo 6° del Decreto N° 297/20 cuando se refiere a las Industrias de alimentación se entenderá a las que integran la cadena de valor e insumos de los sectores productivos de alimentación y bebidas, higiene personal y limpieza, equipamiento médico, medicamentos, vacunas y otros insumos sanitarios”.</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ARTÍCULO 4°.- La presente norma entrará en vigencia el día de su publicación en el BOLETÍN OFICIAL.</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ARTÍCULO 5°.- Comuníquese, publíquese, dése a la DIRECCIÓN NACIONAL DEL REGISTRO OFICIAL y archívese.</w:t>
      </w:r>
      <w:r w:rsidRPr="005360AD">
        <w:rPr>
          <w:rFonts w:ascii="Arial" w:eastAsia="Times New Roman" w:hAnsi="Arial" w:cs="Arial"/>
          <w:bCs/>
          <w:color w:val="000000"/>
          <w:sz w:val="22"/>
          <w:szCs w:val="22"/>
          <w:lang w:val="es-AR" w:eastAsia="es-ES_tradnl"/>
        </w:rPr>
        <w:br/>
      </w:r>
      <w:r w:rsidRPr="005360AD">
        <w:rPr>
          <w:rFonts w:ascii="Arial" w:eastAsia="Times New Roman" w:hAnsi="Arial" w:cs="Arial"/>
          <w:bCs/>
          <w:color w:val="000000"/>
          <w:sz w:val="22"/>
          <w:szCs w:val="22"/>
          <w:lang w:val="es-AR" w:eastAsia="es-ES_tradnl"/>
        </w:rPr>
        <w:br/>
        <w:t>Santiago Andrés Cafiero - Ginés Mario González García</w:t>
      </w:r>
      <w:r w:rsidRPr="005360AD">
        <w:rPr>
          <w:rFonts w:ascii="Arial" w:eastAsia="Times New Roman" w:hAnsi="Arial" w:cs="Arial"/>
          <w:bCs/>
          <w:color w:val="000000"/>
          <w:sz w:val="22"/>
          <w:szCs w:val="22"/>
          <w:lang w:val="es-AR" w:eastAsia="es-ES_tradnl"/>
        </w:rPr>
        <w:br/>
      </w:r>
    </w:p>
    <w:p w:rsidR="005360AD" w:rsidRPr="005360AD" w:rsidRDefault="005360AD" w:rsidP="005360AD">
      <w:pPr>
        <w:jc w:val="both"/>
        <w:rPr>
          <w:rFonts w:ascii="Arial" w:eastAsia="Times New Roman" w:hAnsi="Arial" w:cs="Arial"/>
          <w:bCs/>
          <w:color w:val="000000"/>
          <w:sz w:val="22"/>
          <w:szCs w:val="22"/>
          <w:lang w:val="es-AR" w:eastAsia="es-ES_tradnl"/>
        </w:rPr>
      </w:pPr>
      <w:r w:rsidRPr="005360AD">
        <w:rPr>
          <w:rFonts w:ascii="Arial" w:eastAsia="Times New Roman" w:hAnsi="Arial" w:cs="Arial"/>
          <w:bCs/>
          <w:color w:val="000000"/>
          <w:sz w:val="22"/>
          <w:szCs w:val="22"/>
          <w:lang w:val="es-AR" w:eastAsia="es-ES_tradnl"/>
        </w:rPr>
        <w:t>e. 20/03/2020 N° 15937/20 v. 20/03/202</w:t>
      </w:r>
    </w:p>
    <w:p w:rsidR="003F3FAD" w:rsidRPr="005360AD" w:rsidRDefault="005360AD" w:rsidP="005360AD">
      <w:pPr>
        <w:jc w:val="both"/>
        <w:rPr>
          <w:rFonts w:ascii="Arial" w:eastAsia="Times New Roman" w:hAnsi="Arial" w:cs="Arial"/>
          <w:bCs/>
          <w:color w:val="000000"/>
          <w:sz w:val="22"/>
          <w:szCs w:val="22"/>
          <w:lang w:val="es-AR" w:eastAsia="es-ES_tradnl"/>
        </w:rPr>
      </w:pPr>
    </w:p>
    <w:sectPr w:rsidR="003F3FAD" w:rsidRPr="005360AD"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D"/>
    <w:rsid w:val="00023710"/>
    <w:rsid w:val="00025478"/>
    <w:rsid w:val="0004154E"/>
    <w:rsid w:val="0004736F"/>
    <w:rsid w:val="000763FC"/>
    <w:rsid w:val="000A7244"/>
    <w:rsid w:val="000B211E"/>
    <w:rsid w:val="000E79C2"/>
    <w:rsid w:val="001A740C"/>
    <w:rsid w:val="001B1038"/>
    <w:rsid w:val="001C66A0"/>
    <w:rsid w:val="002170D2"/>
    <w:rsid w:val="002E192A"/>
    <w:rsid w:val="00386178"/>
    <w:rsid w:val="003F4712"/>
    <w:rsid w:val="0044023B"/>
    <w:rsid w:val="00461085"/>
    <w:rsid w:val="0046560D"/>
    <w:rsid w:val="00471DE5"/>
    <w:rsid w:val="004764B0"/>
    <w:rsid w:val="004773B6"/>
    <w:rsid w:val="00485627"/>
    <w:rsid w:val="00487566"/>
    <w:rsid w:val="004A2A20"/>
    <w:rsid w:val="004B034F"/>
    <w:rsid w:val="00502423"/>
    <w:rsid w:val="005244B4"/>
    <w:rsid w:val="005256AA"/>
    <w:rsid w:val="005360AD"/>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85C960-9487-804A-8384-40B6C4EE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3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4667</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2020-03-23T13:49:00Z</dcterms:created>
  <dcterms:modified xsi:type="dcterms:W3CDTF">2020-03-23T13:51:00Z</dcterms:modified>
</cp:coreProperties>
</file>